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6B0" w:rsidRPr="00C00573" w:rsidRDefault="00AA06B0" w:rsidP="00AA06B0">
      <w:pPr>
        <w:pStyle w:val="Nagwek1"/>
        <w:numPr>
          <w:ilvl w:val="0"/>
          <w:numId w:val="0"/>
        </w:numPr>
        <w:ind w:left="432"/>
        <w:jc w:val="left"/>
        <w:rPr>
          <w:sz w:val="22"/>
        </w:rPr>
      </w:pPr>
      <w:r w:rsidRPr="00C00573">
        <w:rPr>
          <w:sz w:val="22"/>
        </w:rPr>
        <w:t>Szczegółowy opis stacji ładowania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5387"/>
      </w:tblGrid>
      <w:tr w:rsidR="00AA06B0" w:rsidRPr="00C00573" w:rsidTr="00C00573">
        <w:trPr>
          <w:trHeight w:val="28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Budowa ładowarki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modułowa</w:t>
            </w:r>
          </w:p>
        </w:tc>
      </w:tr>
      <w:tr w:rsidR="00AA06B0" w:rsidRPr="00C00573" w:rsidTr="00C00573">
        <w:trPr>
          <w:trHeight w:val="292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Rodzaj złącza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kablowe</w:t>
            </w:r>
          </w:p>
        </w:tc>
      </w:tr>
      <w:tr w:rsidR="00AA06B0" w:rsidRPr="00C00573" w:rsidTr="00C00573">
        <w:trPr>
          <w:trHeight w:val="292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Układ sieci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TNS (L1,L2,L3,N,PE)</w:t>
            </w:r>
          </w:p>
        </w:tc>
      </w:tr>
      <w:tr w:rsidR="00AA06B0" w:rsidRPr="00C00573" w:rsidTr="00C00573">
        <w:trPr>
          <w:trHeight w:val="292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Zasilanie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 xml:space="preserve">AC 3 x 400V 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Moc przyłączeniowa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180kW: 189 kVA</w:t>
            </w:r>
          </w:p>
        </w:tc>
      </w:tr>
      <w:tr w:rsidR="00AA06B0" w:rsidRPr="00C00573" w:rsidTr="00C00573">
        <w:trPr>
          <w:trHeight w:val="292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Sprawność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≥94% dla mocy maksymalnej</w:t>
            </w:r>
          </w:p>
        </w:tc>
      </w:tr>
      <w:tr w:rsidR="00AA06B0" w:rsidRPr="00C00573" w:rsidTr="00C00573">
        <w:trPr>
          <w:trHeight w:val="28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Współczynnik mocy wejściowej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≥0.95 dla mocy maksymalnej</w:t>
            </w:r>
          </w:p>
        </w:tc>
      </w:tr>
      <w:tr w:rsidR="00AA06B0" w:rsidRPr="00C00573" w:rsidTr="00C00573">
        <w:trPr>
          <w:trHeight w:val="581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 xml:space="preserve">Maksymalny pobór mocy w trybie </w:t>
            </w:r>
            <w:proofErr w:type="spellStart"/>
            <w:r w:rsidRPr="00C00573">
              <w:rPr>
                <w:rFonts w:cstheme="minorHAnsi"/>
                <w:bCs/>
              </w:rPr>
              <w:t>standby</w:t>
            </w:r>
            <w:proofErr w:type="spellEnd"/>
            <w:r w:rsidRPr="00C00573">
              <w:rPr>
                <w:rFonts w:cstheme="minorHAnsi"/>
                <w:bCs/>
              </w:rPr>
              <w:t xml:space="preserve"> [W]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max 90 W</w:t>
            </w:r>
          </w:p>
        </w:tc>
      </w:tr>
      <w:tr w:rsidR="00AA06B0" w:rsidRPr="00C00573" w:rsidTr="00C00573">
        <w:trPr>
          <w:trHeight w:val="865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Zabezpieczenie nadmiarowo-prądowe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rozłącznik bezpiecznikowy 4-biegunowy</w:t>
            </w:r>
          </w:p>
        </w:tc>
      </w:tr>
      <w:tr w:rsidR="00AA06B0" w:rsidRPr="00C00573" w:rsidTr="00C00573">
        <w:trPr>
          <w:trHeight w:val="285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Zabezpieczenie różnicowo-prądowe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RCD ≤ 30mA typ A</w:t>
            </w:r>
          </w:p>
        </w:tc>
      </w:tr>
      <w:tr w:rsidR="00AA06B0" w:rsidRPr="00C00573" w:rsidTr="00C00573">
        <w:trPr>
          <w:trHeight w:val="28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Rodzaj złącza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2 x CCS Combo-2 (Type2/Mode4)</w:t>
            </w:r>
          </w:p>
        </w:tc>
      </w:tr>
      <w:tr w:rsidR="00AA06B0" w:rsidRPr="00C00573" w:rsidTr="00C00573">
        <w:trPr>
          <w:trHeight w:val="28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Zakres napięcia wyjściowego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400EEA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Combo2: 150 - 1000V</w:t>
            </w:r>
            <w:r w:rsidR="00400EEA">
              <w:rPr>
                <w:rFonts w:cstheme="minorHAnsi"/>
                <w:bCs/>
              </w:rPr>
              <w:t xml:space="preserve"> DC</w:t>
            </w:r>
          </w:p>
        </w:tc>
      </w:tr>
      <w:tr w:rsidR="00AA06B0" w:rsidRPr="00C00573" w:rsidTr="00C00573">
        <w:trPr>
          <w:trHeight w:val="28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Maksymalna moc ładowania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1x180 kW lub 2x90 kW</w:t>
            </w:r>
          </w:p>
        </w:tc>
      </w:tr>
      <w:tr w:rsidR="00AA06B0" w:rsidRPr="00C00573" w:rsidTr="00C00573">
        <w:trPr>
          <w:trHeight w:val="28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Maksymalny prąd ładowania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Combo2:  1x400 A, 2x200A</w:t>
            </w:r>
          </w:p>
        </w:tc>
      </w:tr>
      <w:tr w:rsidR="00AA06B0" w:rsidRPr="00C00573" w:rsidTr="00C00573">
        <w:trPr>
          <w:trHeight w:val="585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Zabezpieczenie przed odwrotnym przepływem prądu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wbudowane w układ</w:t>
            </w:r>
          </w:p>
        </w:tc>
      </w:tr>
      <w:tr w:rsidR="00AA06B0" w:rsidRPr="00C00573" w:rsidTr="00C00573">
        <w:trPr>
          <w:trHeight w:val="569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Ochrona przed porażeniem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układ IT; monitor rezystancji izolacji</w:t>
            </w:r>
          </w:p>
        </w:tc>
      </w:tr>
      <w:tr w:rsidR="00AA06B0" w:rsidRPr="00C00573" w:rsidTr="00C00573">
        <w:trPr>
          <w:trHeight w:val="28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Liczba punktów ładowania w stacji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2</w:t>
            </w:r>
          </w:p>
        </w:tc>
      </w:tr>
      <w:tr w:rsidR="00AA06B0" w:rsidRPr="00C00573" w:rsidTr="00C00573">
        <w:trPr>
          <w:trHeight w:val="302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Stopień ochrony IP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54</w:t>
            </w:r>
          </w:p>
        </w:tc>
      </w:tr>
      <w:tr w:rsidR="00AA06B0" w:rsidRPr="00C00573" w:rsidTr="00C00573">
        <w:trPr>
          <w:trHeight w:val="292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Stopień ochrony IK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10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Klasa ochronności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I</w:t>
            </w:r>
          </w:p>
        </w:tc>
      </w:tr>
      <w:tr w:rsidR="00AA06B0" w:rsidRPr="00C00573" w:rsidTr="00C00573">
        <w:trPr>
          <w:trHeight w:val="581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Chłodzenie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wymuszone powietrzem, załączane automatycznie</w:t>
            </w:r>
          </w:p>
        </w:tc>
      </w:tr>
      <w:tr w:rsidR="00AA06B0" w:rsidRPr="00C00573" w:rsidTr="00C00573">
        <w:trPr>
          <w:trHeight w:val="564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lastRenderedPageBreak/>
              <w:t>Materiał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obudowa stalowa z powłoką galwaniczną</w:t>
            </w:r>
          </w:p>
        </w:tc>
      </w:tr>
      <w:tr w:rsidR="00AA06B0" w:rsidRPr="00C00573" w:rsidTr="00C00573">
        <w:trPr>
          <w:trHeight w:val="292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Kolor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do uzgodnienia z Zamawiającym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Rodzaj zamknięcia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jc w:val="both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zamek z wkładką patentową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Kompensacja mocy biernej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ładowarka musi posiadać aktywną kompensację mocy biernej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Wymagania w zakresie wbudowanego wyświetlacza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numPr>
                <w:ilvl w:val="0"/>
                <w:numId w:val="9"/>
              </w:numPr>
              <w:ind w:left="325" w:hanging="284"/>
              <w:contextualSpacing/>
            </w:pPr>
            <w:r w:rsidRPr="00C00573">
              <w:t>podczas ładowania na wyświetlaczu ładowarki muszą wyświetlać się następujące informacje:</w:t>
            </w:r>
          </w:p>
          <w:p w:rsidR="00AA06B0" w:rsidRPr="00C00573" w:rsidRDefault="00AA06B0" w:rsidP="00AA06B0">
            <w:pPr>
              <w:ind w:left="720" w:hanging="254"/>
              <w:contextualSpacing/>
            </w:pPr>
            <w:r w:rsidRPr="00C00573">
              <w:t>a) o statusie procesu ładowania</w:t>
            </w:r>
          </w:p>
          <w:p w:rsidR="00AA06B0" w:rsidRPr="00C00573" w:rsidRDefault="00AA06B0" w:rsidP="00AA06B0">
            <w:pPr>
              <w:ind w:left="720" w:hanging="254"/>
              <w:contextualSpacing/>
            </w:pPr>
            <w:r w:rsidRPr="00C00573">
              <w:t>b) o aktualnej mocy pobieranej przez pojazd;</w:t>
            </w:r>
          </w:p>
          <w:p w:rsidR="00AA06B0" w:rsidRPr="00C00573" w:rsidRDefault="00AA06B0" w:rsidP="00AA06B0">
            <w:pPr>
              <w:ind w:left="720" w:hanging="254"/>
              <w:contextualSpacing/>
            </w:pPr>
            <w:r w:rsidRPr="00C00573">
              <w:t>c) o aktualnym stanie naładowania baterii</w:t>
            </w:r>
          </w:p>
          <w:p w:rsidR="00AA06B0" w:rsidRPr="00C00573" w:rsidRDefault="00AA06B0" w:rsidP="00AA06B0">
            <w:pPr>
              <w:ind w:left="720" w:hanging="254"/>
              <w:contextualSpacing/>
            </w:pPr>
            <w:r w:rsidRPr="00C00573">
              <w:t>d) o czasie ładowania (czas od rozpoczęcia ładowania oraz czas do końca ładowania)</w:t>
            </w:r>
          </w:p>
          <w:p w:rsidR="00AA06B0" w:rsidRPr="00C00573" w:rsidRDefault="00AA06B0" w:rsidP="00AA06B0">
            <w:pPr>
              <w:ind w:left="720" w:hanging="254"/>
              <w:contextualSpacing/>
            </w:pPr>
            <w:r w:rsidRPr="00C00573">
              <w:t>e) o wystąpieniu awarii</w:t>
            </w:r>
          </w:p>
          <w:p w:rsidR="00AA06B0" w:rsidRPr="00C00573" w:rsidRDefault="00AA06B0" w:rsidP="00AA06B0">
            <w:pPr>
              <w:numPr>
                <w:ilvl w:val="0"/>
                <w:numId w:val="9"/>
              </w:numPr>
              <w:ind w:left="325" w:hanging="325"/>
              <w:contextualSpacing/>
            </w:pPr>
            <w:r w:rsidRPr="00C00573">
              <w:t>komunikaty na wyświetlaczu muszą wyświetlać się w języku polskim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Wymagania w zakresie wyposażenia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numPr>
                <w:ilvl w:val="0"/>
                <w:numId w:val="11"/>
              </w:numPr>
              <w:ind w:left="325" w:right="282" w:hanging="284"/>
              <w:contextualSpacing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wyłącznik bezpieczeństwa (na obudowie zewnętrznej urządzenia)</w:t>
            </w:r>
          </w:p>
          <w:p w:rsidR="00AA06B0" w:rsidRPr="00C00573" w:rsidRDefault="00AA06B0" w:rsidP="00AA06B0">
            <w:pPr>
              <w:numPr>
                <w:ilvl w:val="0"/>
                <w:numId w:val="11"/>
              </w:numPr>
              <w:ind w:left="325" w:right="282" w:hanging="284"/>
              <w:contextualSpacing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złącze (wtyk) do autobusu Plug-in wraz z przewodem o długości min. 6 m</w:t>
            </w:r>
          </w:p>
          <w:p w:rsidR="00AA06B0" w:rsidRPr="00C00573" w:rsidRDefault="00AA06B0" w:rsidP="00AA06B0">
            <w:pPr>
              <w:numPr>
                <w:ilvl w:val="0"/>
                <w:numId w:val="11"/>
              </w:numPr>
              <w:ind w:left="325" w:right="282" w:hanging="284"/>
              <w:contextualSpacing/>
              <w:rPr>
                <w:rFonts w:cstheme="minorHAnsi"/>
                <w:bCs/>
              </w:rPr>
            </w:pPr>
            <w:r w:rsidRPr="00C00573">
              <w:t>system, umożliwiający utrzymanie przewodu nad podłożem</w:t>
            </w:r>
          </w:p>
          <w:p w:rsidR="00AA06B0" w:rsidRPr="00C00573" w:rsidRDefault="00AA06B0" w:rsidP="00AA06B0">
            <w:pPr>
              <w:numPr>
                <w:ilvl w:val="0"/>
                <w:numId w:val="11"/>
              </w:numPr>
              <w:ind w:left="325" w:right="282" w:hanging="284"/>
              <w:contextualSpacing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Czytnik RFID - zbliżeniowy czytnik kart, umożliwiający identyfikację użytkowników urządzenia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Wymagania dodatkowe – komunikacja zdalna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GSM LTE, Ethernet, OCPP 1.6-J – w celu zapewnienia możliwości zdalnego zarządzania, monitorowania, nadzorowania, zbierania danych online, aktualizacji, diagnozowania i zdalnego serwisowania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Komunikacja zgodna z normami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numPr>
                <w:ilvl w:val="0"/>
                <w:numId w:val="10"/>
              </w:numPr>
              <w:ind w:right="282"/>
              <w:contextualSpacing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PN-EN 61851-23 lub równoważna – norma opisująca sposób łączenia plug-in oraz komunikację pomiędzy ładowarką a pojazdem</w:t>
            </w:r>
          </w:p>
          <w:p w:rsidR="00AA06B0" w:rsidRPr="00C00573" w:rsidRDefault="00AA06B0" w:rsidP="00AA06B0">
            <w:pPr>
              <w:numPr>
                <w:ilvl w:val="0"/>
                <w:numId w:val="10"/>
              </w:numPr>
              <w:ind w:right="282"/>
              <w:contextualSpacing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ISO 15118 lub równoważna – norma opisująca protokół komunikacyjny</w:t>
            </w:r>
          </w:p>
          <w:p w:rsidR="00AA06B0" w:rsidRPr="00C00573" w:rsidRDefault="00AA06B0" w:rsidP="00AA06B0">
            <w:pPr>
              <w:numPr>
                <w:ilvl w:val="0"/>
                <w:numId w:val="10"/>
              </w:numPr>
              <w:ind w:right="282"/>
              <w:contextualSpacing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DIN 70122 lub równoważna – norma opisująca sposób ładowania</w:t>
            </w:r>
          </w:p>
        </w:tc>
      </w:tr>
      <w:tr w:rsidR="00BD4AB6" w:rsidRPr="00C00573" w:rsidTr="00C00573">
        <w:trPr>
          <w:trHeight w:val="297"/>
        </w:trPr>
        <w:tc>
          <w:tcPr>
            <w:tcW w:w="2830" w:type="dxa"/>
            <w:vAlign w:val="center"/>
          </w:tcPr>
          <w:p w:rsidR="00BD4AB6" w:rsidRPr="00C00573" w:rsidRDefault="00F8004C" w:rsidP="00F8004C">
            <w:pPr>
              <w:ind w:right="282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Zgodność</w:t>
            </w:r>
            <w:r w:rsidR="00BD4AB6">
              <w:rPr>
                <w:rFonts w:cstheme="minorHAnsi"/>
                <w:bCs/>
              </w:rPr>
              <w:t xml:space="preserve"> z normami </w:t>
            </w:r>
          </w:p>
        </w:tc>
        <w:tc>
          <w:tcPr>
            <w:tcW w:w="5387" w:type="dxa"/>
            <w:vAlign w:val="center"/>
          </w:tcPr>
          <w:p w:rsidR="00BD4AB6" w:rsidRPr="00C00573" w:rsidRDefault="00BD4AB6" w:rsidP="00AA06B0">
            <w:pPr>
              <w:ind w:right="282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Deklaracja CE lub równoważne</w:t>
            </w:r>
          </w:p>
        </w:tc>
      </w:tr>
      <w:tr w:rsidR="00D941CE" w:rsidRPr="00C00573" w:rsidTr="00C00573">
        <w:trPr>
          <w:trHeight w:val="297"/>
        </w:trPr>
        <w:tc>
          <w:tcPr>
            <w:tcW w:w="2830" w:type="dxa"/>
            <w:vAlign w:val="center"/>
          </w:tcPr>
          <w:p w:rsidR="00D941CE" w:rsidRPr="00C00573" w:rsidRDefault="00D941CE" w:rsidP="00F8004C">
            <w:pPr>
              <w:ind w:right="282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Data produkcji</w:t>
            </w:r>
          </w:p>
        </w:tc>
        <w:tc>
          <w:tcPr>
            <w:tcW w:w="5387" w:type="dxa"/>
            <w:vAlign w:val="center"/>
          </w:tcPr>
          <w:p w:rsidR="00D941CE" w:rsidRPr="00C00573" w:rsidRDefault="00D941CE" w:rsidP="00AA06B0">
            <w:pPr>
              <w:ind w:right="282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wyprodukowana w 2025 r.</w:t>
            </w:r>
          </w:p>
        </w:tc>
      </w:tr>
      <w:tr w:rsidR="00AA06B0" w:rsidRPr="00C00573" w:rsidTr="00C00573">
        <w:trPr>
          <w:trHeight w:val="297"/>
        </w:trPr>
        <w:tc>
          <w:tcPr>
            <w:tcW w:w="2830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>Gwarancja</w:t>
            </w:r>
          </w:p>
        </w:tc>
        <w:tc>
          <w:tcPr>
            <w:tcW w:w="5387" w:type="dxa"/>
            <w:vAlign w:val="center"/>
          </w:tcPr>
          <w:p w:rsidR="00AA06B0" w:rsidRPr="00C00573" w:rsidRDefault="00AA06B0" w:rsidP="00AA06B0">
            <w:pPr>
              <w:ind w:right="282"/>
              <w:rPr>
                <w:rFonts w:cstheme="minorHAnsi"/>
                <w:bCs/>
              </w:rPr>
            </w:pPr>
            <w:r w:rsidRPr="00C00573">
              <w:rPr>
                <w:rFonts w:cstheme="minorHAnsi"/>
                <w:bCs/>
              </w:rPr>
              <w:t xml:space="preserve">Wykonawca jest zobowiązany udzielić gwarancji jakości na co najmniej 36 miesięcy licząc od dnia zawarcia umowy. Zasady udzielenia gwarancji zostały określone w projektowanych postanowieniach umownych. Okres gwarancji będzie dłuższy w </w:t>
            </w:r>
            <w:r w:rsidRPr="00C00573">
              <w:rPr>
                <w:rFonts w:cstheme="minorHAnsi"/>
                <w:bCs/>
              </w:rPr>
              <w:lastRenderedPageBreak/>
              <w:t xml:space="preserve">przypadku gdy Wykonawca w ramach kryterium oceny ofert zaoferuje dłuższy okres gwarancji.   </w:t>
            </w:r>
          </w:p>
        </w:tc>
      </w:tr>
      <w:tr w:rsidR="00F8004C" w:rsidRPr="00C00573" w:rsidTr="00C00573">
        <w:trPr>
          <w:trHeight w:val="297"/>
        </w:trPr>
        <w:tc>
          <w:tcPr>
            <w:tcW w:w="2830" w:type="dxa"/>
            <w:vAlign w:val="center"/>
          </w:tcPr>
          <w:p w:rsidR="00F8004C" w:rsidRPr="00C00573" w:rsidRDefault="00F8004C" w:rsidP="00AA06B0">
            <w:pPr>
              <w:ind w:right="282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Dodatkowe warunki zamówienia</w:t>
            </w:r>
          </w:p>
        </w:tc>
        <w:tc>
          <w:tcPr>
            <w:tcW w:w="5387" w:type="dxa"/>
            <w:vAlign w:val="center"/>
          </w:tcPr>
          <w:p w:rsidR="00F8004C" w:rsidRPr="00C00573" w:rsidRDefault="00F8004C" w:rsidP="00F8004C">
            <w:pPr>
              <w:ind w:right="282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Zamawiający nie dopuszcza stacji ładowania </w:t>
            </w:r>
            <w:bookmarkStart w:id="0" w:name="_GoBack"/>
            <w:bookmarkEnd w:id="0"/>
            <w:r>
              <w:rPr>
                <w:rFonts w:cstheme="minorHAnsi"/>
                <w:bCs/>
              </w:rPr>
              <w:t xml:space="preserve">pochodzących z </w:t>
            </w:r>
            <w:r w:rsidRPr="00F8004C">
              <w:rPr>
                <w:rFonts w:cstheme="minorHAnsi"/>
                <w:bCs/>
              </w:rPr>
              <w:t>państw trzecich niebędących stronami umów</w:t>
            </w:r>
            <w:r>
              <w:rPr>
                <w:rFonts w:cstheme="minorHAnsi"/>
                <w:bCs/>
              </w:rPr>
              <w:t xml:space="preserve"> </w:t>
            </w:r>
            <w:r w:rsidRPr="00F8004C">
              <w:rPr>
                <w:rFonts w:cstheme="minorHAnsi"/>
                <w:bCs/>
              </w:rPr>
              <w:t>międzynarodowych</w:t>
            </w:r>
            <w:r>
              <w:rPr>
                <w:rFonts w:cstheme="minorHAnsi"/>
                <w:bCs/>
              </w:rPr>
              <w:t>.</w:t>
            </w:r>
          </w:p>
        </w:tc>
      </w:tr>
    </w:tbl>
    <w:p w:rsidR="00AA06B0" w:rsidRPr="00C00573" w:rsidRDefault="00AA06B0"/>
    <w:sectPr w:rsidR="00AA06B0" w:rsidRPr="00C00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94996"/>
    <w:multiLevelType w:val="hybridMultilevel"/>
    <w:tmpl w:val="CC960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00A14"/>
    <w:multiLevelType w:val="multilevel"/>
    <w:tmpl w:val="858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08137DD"/>
    <w:multiLevelType w:val="multilevel"/>
    <w:tmpl w:val="BA2E0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4C378B4"/>
    <w:multiLevelType w:val="hybridMultilevel"/>
    <w:tmpl w:val="AC1635EA"/>
    <w:lvl w:ilvl="0" w:tplc="754A16F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32E1F"/>
    <w:multiLevelType w:val="multilevel"/>
    <w:tmpl w:val="0F1C0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35159B4"/>
    <w:multiLevelType w:val="hybridMultilevel"/>
    <w:tmpl w:val="A7005252"/>
    <w:lvl w:ilvl="0" w:tplc="7D90A2BE">
      <w:start w:val="1"/>
      <w:numFmt w:val="decimal"/>
      <w:lvlText w:val="%1)"/>
      <w:lvlJc w:val="left"/>
      <w:pPr>
        <w:ind w:left="1065" w:hanging="7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93E45"/>
    <w:multiLevelType w:val="multilevel"/>
    <w:tmpl w:val="3A88000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434" w:hanging="576"/>
      </w:pPr>
    </w:lvl>
    <w:lvl w:ilvl="2">
      <w:start w:val="1"/>
      <w:numFmt w:val="decimal"/>
      <w:lvlText w:val="%1.%2.%3"/>
      <w:lvlJc w:val="left"/>
      <w:pPr>
        <w:ind w:left="578" w:hanging="720"/>
      </w:pPr>
    </w:lvl>
    <w:lvl w:ilvl="3">
      <w:start w:val="1"/>
      <w:numFmt w:val="decimal"/>
      <w:lvlText w:val="%1.%2.%3.%4"/>
      <w:lvlJc w:val="left"/>
      <w:pPr>
        <w:ind w:left="722" w:hanging="864"/>
      </w:pPr>
    </w:lvl>
    <w:lvl w:ilvl="4">
      <w:start w:val="1"/>
      <w:numFmt w:val="decimal"/>
      <w:lvlText w:val="%1.%2.%3.%4.%5"/>
      <w:lvlJc w:val="left"/>
      <w:pPr>
        <w:ind w:left="866" w:hanging="1008"/>
      </w:pPr>
    </w:lvl>
    <w:lvl w:ilvl="5">
      <w:start w:val="1"/>
      <w:numFmt w:val="decimal"/>
      <w:lvlText w:val="%1.%2.%3.%4.%5.%6"/>
      <w:lvlJc w:val="left"/>
      <w:pPr>
        <w:ind w:left="1010" w:hanging="1152"/>
      </w:pPr>
    </w:lvl>
    <w:lvl w:ilvl="6">
      <w:start w:val="1"/>
      <w:numFmt w:val="decimal"/>
      <w:lvlText w:val="%1.%2.%3.%4.%5.%6.%7"/>
      <w:lvlJc w:val="left"/>
      <w:pPr>
        <w:ind w:left="1154" w:hanging="1296"/>
      </w:pPr>
    </w:lvl>
    <w:lvl w:ilvl="7">
      <w:start w:val="1"/>
      <w:numFmt w:val="decimal"/>
      <w:lvlText w:val="%1.%2.%3.%4.%5.%6.%7.%8"/>
      <w:lvlJc w:val="left"/>
      <w:pPr>
        <w:ind w:left="1298" w:hanging="1440"/>
      </w:pPr>
    </w:lvl>
    <w:lvl w:ilvl="8">
      <w:start w:val="1"/>
      <w:numFmt w:val="decimal"/>
      <w:lvlText w:val="%1.%2.%3.%4.%5.%6.%7.%8.%9"/>
      <w:lvlJc w:val="left"/>
      <w:pPr>
        <w:ind w:left="1442" w:hanging="1584"/>
      </w:pPr>
    </w:lvl>
  </w:abstractNum>
  <w:abstractNum w:abstractNumId="7" w15:restartNumberingAfterBreak="0">
    <w:nsid w:val="75FF7B4E"/>
    <w:multiLevelType w:val="hybridMultilevel"/>
    <w:tmpl w:val="A7005252"/>
    <w:lvl w:ilvl="0" w:tplc="7D90A2BE">
      <w:start w:val="1"/>
      <w:numFmt w:val="decimal"/>
      <w:lvlText w:val="%1)"/>
      <w:lvlJc w:val="left"/>
      <w:pPr>
        <w:ind w:left="1065" w:hanging="7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714FD"/>
    <w:multiLevelType w:val="hybridMultilevel"/>
    <w:tmpl w:val="9464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60235A6">
      <w:start w:val="1"/>
      <w:numFmt w:val="upperRoman"/>
      <w:lvlText w:val="%4."/>
      <w:lvlJc w:val="righ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027F4"/>
    <w:multiLevelType w:val="hybridMultilevel"/>
    <w:tmpl w:val="53DEC042"/>
    <w:lvl w:ilvl="0" w:tplc="474246D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6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B0"/>
    <w:rsid w:val="000B33F0"/>
    <w:rsid w:val="00257BF5"/>
    <w:rsid w:val="002845AB"/>
    <w:rsid w:val="00287C7F"/>
    <w:rsid w:val="00382C25"/>
    <w:rsid w:val="00400EEA"/>
    <w:rsid w:val="004F6802"/>
    <w:rsid w:val="005B06FF"/>
    <w:rsid w:val="00777ADE"/>
    <w:rsid w:val="007D4FD3"/>
    <w:rsid w:val="008371ED"/>
    <w:rsid w:val="008F18E7"/>
    <w:rsid w:val="00996219"/>
    <w:rsid w:val="00A02D67"/>
    <w:rsid w:val="00AA06B0"/>
    <w:rsid w:val="00BD4AB6"/>
    <w:rsid w:val="00C00573"/>
    <w:rsid w:val="00C7535D"/>
    <w:rsid w:val="00D941CE"/>
    <w:rsid w:val="00ED427D"/>
    <w:rsid w:val="00F8004C"/>
    <w:rsid w:val="00F8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0557"/>
  <w15:chartTrackingRefBased/>
  <w15:docId w15:val="{2850C6AA-3A4B-441E-8EAB-EEB67623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autoRedefine/>
    <w:uiPriority w:val="9"/>
    <w:unhideWhenUsed/>
    <w:qFormat/>
    <w:rsid w:val="00AA06B0"/>
    <w:pPr>
      <w:keepNext/>
      <w:keepLines/>
      <w:numPr>
        <w:numId w:val="8"/>
      </w:numPr>
      <w:spacing w:before="240" w:after="263"/>
      <w:jc w:val="center"/>
      <w:outlineLvl w:val="0"/>
    </w:pPr>
    <w:rPr>
      <w:rFonts w:ascii="Calibri" w:eastAsia="Cambria" w:hAnsi="Calibri" w:cs="Cambria"/>
      <w:b/>
      <w:sz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87C7F"/>
    <w:pPr>
      <w:keepNext/>
      <w:spacing w:before="360" w:after="180"/>
      <w:jc w:val="center"/>
      <w:outlineLvl w:val="1"/>
    </w:pPr>
    <w:rPr>
      <w:rFonts w:asciiTheme="majorHAnsi" w:eastAsia="Times New Roman" w:hAnsiTheme="majorHAns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B33F0"/>
    <w:pPr>
      <w:keepNext/>
      <w:keepLines/>
      <w:numPr>
        <w:ilvl w:val="2"/>
        <w:numId w:val="1"/>
      </w:numPr>
      <w:spacing w:before="200" w:after="0" w:line="276" w:lineRule="auto"/>
      <w:ind w:left="578" w:hanging="720"/>
      <w:outlineLvl w:val="2"/>
    </w:pPr>
    <w:rPr>
      <w:rFonts w:ascii="Arial" w:eastAsiaTheme="majorEastAsia" w:hAnsi="Arial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B33F0"/>
    <w:rPr>
      <w:rFonts w:ascii="Arial" w:eastAsiaTheme="majorEastAsia" w:hAnsi="Arial" w:cstheme="majorBidi"/>
      <w:b/>
      <w:bCs/>
    </w:rPr>
  </w:style>
  <w:style w:type="character" w:customStyle="1" w:styleId="Nagwek1Znak">
    <w:name w:val="Nagłówek 1 Znak"/>
    <w:link w:val="Nagwek1"/>
    <w:uiPriority w:val="9"/>
    <w:rsid w:val="00AA06B0"/>
    <w:rPr>
      <w:rFonts w:ascii="Calibri" w:eastAsia="Cambria" w:hAnsi="Calibri" w:cs="Cambria"/>
      <w:b/>
      <w:sz w:val="28"/>
    </w:rPr>
  </w:style>
  <w:style w:type="character" w:customStyle="1" w:styleId="Nagwek2Znak">
    <w:name w:val="Nagłówek 2 Znak"/>
    <w:link w:val="Nagwek2"/>
    <w:uiPriority w:val="9"/>
    <w:rsid w:val="00287C7F"/>
    <w:rPr>
      <w:rFonts w:asciiTheme="majorHAnsi" w:eastAsia="Times New Roman" w:hAnsiTheme="majorHAnsi"/>
      <w:b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Błaszczak</dc:creator>
  <cp:keywords/>
  <dc:description/>
  <cp:lastModifiedBy>Wioletta Błaszczak</cp:lastModifiedBy>
  <cp:revision>6</cp:revision>
  <dcterms:created xsi:type="dcterms:W3CDTF">2025-10-06T10:21:00Z</dcterms:created>
  <dcterms:modified xsi:type="dcterms:W3CDTF">2025-10-13T13:11:00Z</dcterms:modified>
</cp:coreProperties>
</file>